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D6D" w:rsidRPr="00675E4A" w:rsidRDefault="00167D6D" w:rsidP="00167D6D">
      <w:pPr>
        <w:tabs>
          <w:tab w:val="left" w:pos="4320"/>
        </w:tabs>
      </w:pPr>
      <w:r w:rsidRPr="00675E4A">
        <w:t>УДК 550.34</w:t>
      </w:r>
    </w:p>
    <w:p w:rsidR="00167D6D" w:rsidRPr="004502BC" w:rsidRDefault="00167D6D" w:rsidP="00167D6D">
      <w:pPr>
        <w:tabs>
          <w:tab w:val="left" w:pos="4320"/>
        </w:tabs>
        <w:jc w:val="center"/>
        <w:rPr>
          <w:i/>
          <w:caps/>
        </w:rPr>
      </w:pPr>
    </w:p>
    <w:p w:rsidR="00167D6D" w:rsidRPr="004502BC" w:rsidRDefault="00167D6D" w:rsidP="00167D6D">
      <w:pPr>
        <w:jc w:val="center"/>
        <w:rPr>
          <w:b/>
          <w:caps/>
        </w:rPr>
      </w:pPr>
      <w:r w:rsidRPr="004502BC">
        <w:rPr>
          <w:b/>
          <w:caps/>
        </w:rPr>
        <w:t>К вопросу об излучении сейсмических колебаний при сдвиге по поверхности разлома</w:t>
      </w:r>
    </w:p>
    <w:p w:rsidR="00167D6D" w:rsidRPr="00241FFA" w:rsidRDefault="00167D6D" w:rsidP="00167D6D">
      <w:pPr>
        <w:jc w:val="center"/>
        <w:rPr>
          <w:rStyle w:val="apple-converted-space"/>
          <w:b/>
          <w:i/>
          <w:shd w:val="clear" w:color="auto" w:fill="FFFFFF"/>
          <w:vertAlign w:val="superscript"/>
        </w:rPr>
      </w:pPr>
      <w:r w:rsidRPr="004502BC">
        <w:rPr>
          <w:rStyle w:val="apple-converted-space"/>
          <w:b/>
          <w:i/>
          <w:shd w:val="clear" w:color="auto" w:fill="FFFFFF"/>
        </w:rPr>
        <w:t>А.М. Будков</w:t>
      </w:r>
      <w:r w:rsidR="00C1501B" w:rsidRPr="00C1501B">
        <w:rPr>
          <w:rStyle w:val="apple-converted-space"/>
          <w:b/>
          <w:i/>
          <w:shd w:val="clear" w:color="auto" w:fill="FFFFFF"/>
          <w:vertAlign w:val="superscript"/>
        </w:rPr>
        <w:t>1</w:t>
      </w:r>
      <w:r w:rsidRPr="004502BC">
        <w:rPr>
          <w:rStyle w:val="apple-converted-space"/>
          <w:b/>
          <w:i/>
          <w:shd w:val="clear" w:color="auto" w:fill="FFFFFF"/>
        </w:rPr>
        <w:t>, Г.Г. Кочарян</w:t>
      </w:r>
      <w:r w:rsidR="00241FFA">
        <w:rPr>
          <w:rStyle w:val="apple-converted-space"/>
          <w:b/>
          <w:i/>
          <w:shd w:val="clear" w:color="auto" w:fill="FFFFFF"/>
          <w:vertAlign w:val="superscript"/>
        </w:rPr>
        <w:t>1</w:t>
      </w:r>
      <w:r w:rsidR="00241FFA">
        <w:rPr>
          <w:rStyle w:val="apple-converted-space"/>
          <w:b/>
          <w:i/>
          <w:shd w:val="clear" w:color="auto" w:fill="FFFFFF"/>
        </w:rPr>
        <w:t>, А.А. Иванов</w:t>
      </w:r>
      <w:r w:rsidR="00241FFA">
        <w:rPr>
          <w:rStyle w:val="apple-converted-space"/>
          <w:b/>
          <w:i/>
          <w:shd w:val="clear" w:color="auto" w:fill="FFFFFF"/>
          <w:vertAlign w:val="superscript"/>
        </w:rPr>
        <w:t>2</w:t>
      </w:r>
    </w:p>
    <w:p w:rsidR="00167D6D" w:rsidRDefault="00241FFA" w:rsidP="00167D6D">
      <w:pPr>
        <w:jc w:val="center"/>
        <w:rPr>
          <w:rStyle w:val="apple-converted-space"/>
          <w:shd w:val="clear" w:color="auto" w:fill="FFFFFF"/>
        </w:rPr>
      </w:pPr>
      <w:r w:rsidRPr="00241FFA">
        <w:rPr>
          <w:rStyle w:val="apple-converted-space"/>
          <w:i/>
          <w:shd w:val="clear" w:color="auto" w:fill="FFFFFF"/>
          <w:vertAlign w:val="superscript"/>
        </w:rPr>
        <w:t>1</w:t>
      </w:r>
      <w:r>
        <w:rPr>
          <w:rStyle w:val="apple-converted-space"/>
          <w:i/>
          <w:shd w:val="clear" w:color="auto" w:fill="FFFFFF"/>
          <w:vertAlign w:val="superscript"/>
        </w:rPr>
        <w:t xml:space="preserve"> </w:t>
      </w:r>
      <w:r w:rsidR="00167D6D" w:rsidRPr="004502BC">
        <w:rPr>
          <w:rStyle w:val="apple-converted-space"/>
          <w:shd w:val="clear" w:color="auto" w:fill="FFFFFF"/>
        </w:rPr>
        <w:t>ИДГ РАН</w:t>
      </w:r>
    </w:p>
    <w:p w:rsidR="00241FFA" w:rsidRPr="00241FFA" w:rsidRDefault="00241FFA" w:rsidP="00167D6D">
      <w:pPr>
        <w:jc w:val="center"/>
        <w:rPr>
          <w:rStyle w:val="apple-converted-space"/>
          <w:shd w:val="clear" w:color="auto" w:fill="FFFFFF"/>
        </w:rPr>
      </w:pPr>
      <w:r>
        <w:rPr>
          <w:rStyle w:val="apple-converted-space"/>
          <w:i/>
          <w:shd w:val="clear" w:color="auto" w:fill="FFFFFF"/>
          <w:vertAlign w:val="superscript"/>
        </w:rPr>
        <w:t xml:space="preserve">2 </w:t>
      </w:r>
      <w:r>
        <w:rPr>
          <w:rStyle w:val="apple-converted-space"/>
          <w:shd w:val="clear" w:color="auto" w:fill="FFFFFF"/>
        </w:rPr>
        <w:t>ИФЗ РАН</w:t>
      </w:r>
    </w:p>
    <w:p w:rsidR="00167D6D" w:rsidRPr="004502BC" w:rsidRDefault="00167D6D" w:rsidP="00167D6D">
      <w:pPr>
        <w:spacing w:line="240" w:lineRule="auto"/>
        <w:ind w:left="720" w:right="895" w:firstLine="0"/>
        <w:jc w:val="both"/>
        <w:rPr>
          <w:sz w:val="18"/>
          <w:szCs w:val="18"/>
        </w:rPr>
      </w:pPr>
      <w:r w:rsidRPr="004502BC">
        <w:rPr>
          <w:sz w:val="18"/>
          <w:szCs w:val="18"/>
        </w:rPr>
        <w:t xml:space="preserve">Приводятся некоторые результаты 2D численного моделирования процесса излучения колебаний при сдвиге по гетерогенной поверхности, содержащей участки с разным характером фрикционного взаимодействия. Показано, что высокочастотная часть спектра излучения определяется характеристиками пятен со свойствами скоростного </w:t>
      </w:r>
      <w:r>
        <w:rPr>
          <w:sz w:val="18"/>
          <w:szCs w:val="18"/>
        </w:rPr>
        <w:t>раз</w:t>
      </w:r>
      <w:r w:rsidRPr="004502BC">
        <w:rPr>
          <w:sz w:val="18"/>
          <w:szCs w:val="18"/>
        </w:rPr>
        <w:t>упр</w:t>
      </w:r>
      <w:bookmarkStart w:id="0" w:name="_GoBack"/>
      <w:bookmarkEnd w:id="0"/>
      <w:r w:rsidRPr="004502BC">
        <w:rPr>
          <w:sz w:val="18"/>
          <w:szCs w:val="18"/>
        </w:rPr>
        <w:t>очнения – «</w:t>
      </w:r>
      <w:r w:rsidRPr="004502BC">
        <w:rPr>
          <w:sz w:val="18"/>
          <w:szCs w:val="18"/>
          <w:lang w:val="en-US"/>
        </w:rPr>
        <w:t>asperities</w:t>
      </w:r>
      <w:r w:rsidRPr="004502BC">
        <w:rPr>
          <w:sz w:val="18"/>
          <w:szCs w:val="18"/>
        </w:rPr>
        <w:t xml:space="preserve">», на одном из которых всегда наблюдается старт разрыва. Низкочастотная часть спектра, а, следовательно, и такие параметры, как сейсмический момент и магнитуда на большом расстоянии, определяются характеристиками области разлома, вовлеченной в движение. Остановка разрыва происходит в области, обладающей свойством скоростного упрочнения, обусловленного либо локальным снижением уровня напряжений, нормальных к плоскости разлома, либо свойствами </w:t>
      </w:r>
      <w:proofErr w:type="spellStart"/>
      <w:r w:rsidRPr="004502BC">
        <w:rPr>
          <w:sz w:val="18"/>
          <w:szCs w:val="18"/>
        </w:rPr>
        <w:t>геоматериала</w:t>
      </w:r>
      <w:proofErr w:type="spellEnd"/>
      <w:r w:rsidRPr="004502BC">
        <w:rPr>
          <w:sz w:val="18"/>
          <w:szCs w:val="18"/>
        </w:rPr>
        <w:t>, слагающего участок разлома.</w:t>
      </w:r>
    </w:p>
    <w:p w:rsidR="00167D6D" w:rsidRPr="004502BC" w:rsidRDefault="00167D6D" w:rsidP="00167D6D">
      <w:pPr>
        <w:rPr>
          <w:caps/>
          <w:sz w:val="18"/>
          <w:szCs w:val="18"/>
        </w:rPr>
      </w:pPr>
    </w:p>
    <w:p w:rsidR="00167D6D" w:rsidRPr="006574D3" w:rsidRDefault="00167D6D" w:rsidP="00167D6D"/>
    <w:p w:rsidR="00167D6D" w:rsidRPr="006574D3" w:rsidRDefault="00167D6D" w:rsidP="00167D6D">
      <w:pPr>
        <w:jc w:val="center"/>
        <w:rPr>
          <w:b/>
        </w:rPr>
      </w:pPr>
      <w:r w:rsidRPr="006574D3">
        <w:rPr>
          <w:b/>
        </w:rPr>
        <w:t>Введение</w:t>
      </w:r>
    </w:p>
    <w:p w:rsidR="00167D6D" w:rsidRPr="006574D3" w:rsidRDefault="00167D6D" w:rsidP="00167D6D">
      <w:pPr>
        <w:jc w:val="both"/>
      </w:pPr>
      <w:r w:rsidRPr="006574D3">
        <w:t xml:space="preserve">В ранних моделях очага землетрясения явно или неявно предполагался в среднем равномерный сброс напряжений и равномерное выделение запасенной упругой энергии в окрестности всей поверхности разрыва. В самом деле, угловая частота спектра колебаний на больших расстояниях примерно соответствуют величине </w:t>
      </w:r>
      <w:r w:rsidRPr="006574D3">
        <w:rPr>
          <w:position w:val="-12"/>
        </w:rPr>
        <w:object w:dxaOrig="1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pt" o:ole="">
            <v:imagedata r:id="rId4" o:title=""/>
          </v:shape>
          <o:OLEObject Type="Embed" ProgID="Equation.3" ShapeID="_x0000_i1025" DrawAspect="Content" ObjectID="_1615025271" r:id="rId5"/>
        </w:object>
      </w:r>
      <w:r w:rsidRPr="006574D3">
        <w:t xml:space="preserve">, где </w:t>
      </w:r>
      <w:r w:rsidRPr="006574D3">
        <w:rPr>
          <w:position w:val="-12"/>
        </w:rPr>
        <w:object w:dxaOrig="300" w:dyaOrig="360">
          <v:shape id="_x0000_i1026" type="#_x0000_t75" style="width:15pt;height:18pt" o:ole="">
            <v:imagedata r:id="rId6" o:title=""/>
          </v:shape>
          <o:OLEObject Type="Embed" ProgID="Equation.3" ShapeID="_x0000_i1026" DrawAspect="Content" ObjectID="_1615025272" r:id="rId7"/>
        </w:object>
      </w:r>
      <w:r w:rsidRPr="006574D3">
        <w:t xml:space="preserve"> </w:t>
      </w:r>
      <w:r>
        <w:t>–</w:t>
      </w:r>
      <w:r w:rsidRPr="006574D3">
        <w:t xml:space="preserve"> скорость распространения поперечных волн, а </w:t>
      </w:r>
      <w:r w:rsidRPr="006574D3">
        <w:rPr>
          <w:position w:val="-4"/>
        </w:rPr>
        <w:object w:dxaOrig="220" w:dyaOrig="240">
          <v:shape id="_x0000_i1027" type="#_x0000_t75" style="width:11.25pt;height:12pt" o:ole="">
            <v:imagedata r:id="rId8" o:title=""/>
          </v:shape>
          <o:OLEObject Type="Embed" ProgID="Equation.3" ShapeID="_x0000_i1027" DrawAspect="Content" ObjectID="_1615025273" r:id="rId9"/>
        </w:object>
      </w:r>
      <w:r w:rsidRPr="006574D3">
        <w:t xml:space="preserve"> </w:t>
      </w:r>
      <w:r>
        <w:t>–</w:t>
      </w:r>
      <w:r w:rsidRPr="006574D3">
        <w:t xml:space="preserve"> характерный размер разрыва. В тоже время, попытка описания спектра колебаний в ближней зоне землетрясения наталкивается на необходимость введения предположения о гетероген</w:t>
      </w:r>
      <w:r>
        <w:t>н</w:t>
      </w:r>
      <w:r w:rsidRPr="006574D3">
        <w:t>ости поверхности скольжения.</w:t>
      </w:r>
    </w:p>
    <w:p w:rsidR="00167D6D" w:rsidRDefault="00167D6D" w:rsidP="00167D6D">
      <w:pPr>
        <w:jc w:val="both"/>
      </w:pPr>
      <w:r w:rsidRPr="006574D3">
        <w:t>В 70-80-е годы прошлого века был предложен подход, согласно которому поверхность скольжения не однородна, а содержит особые участки. Терминология для описания гетерогенности плоскости разлома стала общеупотребимой и названия «неровности» (</w:t>
      </w:r>
      <w:r w:rsidRPr="006574D3">
        <w:rPr>
          <w:lang w:val="fr-FR"/>
        </w:rPr>
        <w:t>asperities</w:t>
      </w:r>
      <w:r w:rsidRPr="006574D3">
        <w:t xml:space="preserve">) </w:t>
      </w:r>
      <w:r w:rsidRPr="006574D3">
        <w:rPr>
          <w:rFonts w:ascii="AdvTT182ff89e" w:hAnsi="AdvTT182ff89e" w:cs="AdvTT182ff89e"/>
        </w:rPr>
        <w:t>и «</w:t>
      </w:r>
      <w:r w:rsidRPr="006574D3">
        <w:t>барьеры» (</w:t>
      </w:r>
      <w:r w:rsidRPr="006574D3">
        <w:rPr>
          <w:bCs/>
          <w:lang w:val="fr-FR"/>
        </w:rPr>
        <w:t>barriers</w:t>
      </w:r>
      <w:r w:rsidRPr="006574D3">
        <w:rPr>
          <w:bCs/>
        </w:rPr>
        <w:t>) часто используются в литературе. Изначально предполагалось, что и «</w:t>
      </w:r>
      <w:r w:rsidRPr="006574D3">
        <w:rPr>
          <w:lang w:val="fr-FR"/>
        </w:rPr>
        <w:t>asperities</w:t>
      </w:r>
      <w:r w:rsidRPr="006574D3">
        <w:t>» [</w:t>
      </w:r>
      <w:proofErr w:type="spellStart"/>
      <w:r w:rsidRPr="006574D3">
        <w:rPr>
          <w:bCs/>
        </w:rPr>
        <w:t>Kanamori</w:t>
      </w:r>
      <w:proofErr w:type="spellEnd"/>
      <w:r w:rsidRPr="006574D3">
        <w:rPr>
          <w:bCs/>
        </w:rPr>
        <w:t xml:space="preserve">, </w:t>
      </w:r>
      <w:proofErr w:type="spellStart"/>
      <w:r w:rsidRPr="006574D3">
        <w:rPr>
          <w:bCs/>
        </w:rPr>
        <w:t>Stewart</w:t>
      </w:r>
      <w:proofErr w:type="spellEnd"/>
      <w:r w:rsidRPr="006574D3">
        <w:rPr>
          <w:bCs/>
        </w:rPr>
        <w:t>, 1978</w:t>
      </w:r>
      <w:r w:rsidRPr="006574D3">
        <w:t xml:space="preserve">], и «барьеры» </w:t>
      </w:r>
      <w:r w:rsidRPr="006574D3">
        <w:rPr>
          <w:bCs/>
        </w:rPr>
        <w:t>[</w:t>
      </w:r>
      <w:r w:rsidRPr="006574D3">
        <w:rPr>
          <w:bCs/>
          <w:lang w:val="fr-FR"/>
        </w:rPr>
        <w:t>Aki</w:t>
      </w:r>
      <w:r w:rsidRPr="006574D3">
        <w:rPr>
          <w:bCs/>
        </w:rPr>
        <w:t xml:space="preserve"> </w:t>
      </w:r>
      <w:r w:rsidRPr="006574D3">
        <w:rPr>
          <w:bCs/>
          <w:lang w:val="fr-FR"/>
        </w:rPr>
        <w:t>et</w:t>
      </w:r>
      <w:r w:rsidRPr="006574D3">
        <w:rPr>
          <w:bCs/>
        </w:rPr>
        <w:t xml:space="preserve"> </w:t>
      </w:r>
      <w:r w:rsidRPr="006574D3">
        <w:rPr>
          <w:bCs/>
          <w:lang w:val="fr-FR"/>
        </w:rPr>
        <w:t>al</w:t>
      </w:r>
      <w:r w:rsidRPr="006574D3">
        <w:rPr>
          <w:bCs/>
        </w:rPr>
        <w:t xml:space="preserve">., 1977] </w:t>
      </w:r>
      <w:r w:rsidRPr="006574D3">
        <w:t>представляют собой некоторые «сильные пятна», которые, однако, играют разную роль в распространении разрыва землетрясения</w:t>
      </w:r>
      <w:r>
        <w:t xml:space="preserve"> (рис. 1)</w:t>
      </w:r>
      <w:r w:rsidRPr="006574D3">
        <w:t>.</w:t>
      </w:r>
    </w:p>
    <w:p w:rsidR="00167D6D" w:rsidRPr="006574D3" w:rsidRDefault="00167D6D" w:rsidP="00167D6D">
      <w:pPr>
        <w:jc w:val="both"/>
      </w:pPr>
      <w:r w:rsidRPr="006574D3">
        <w:rPr>
          <w:lang w:val="en-US"/>
        </w:rPr>
        <w:t>A</w:t>
      </w:r>
      <w:r w:rsidRPr="006574D3">
        <w:rPr>
          <w:lang w:val="fr-FR"/>
        </w:rPr>
        <w:t>sperities</w:t>
      </w:r>
      <w:r w:rsidRPr="006574D3">
        <w:t xml:space="preserve"> в первоначальной модели [</w:t>
      </w:r>
      <w:proofErr w:type="spellStart"/>
      <w:r w:rsidRPr="006574D3">
        <w:rPr>
          <w:bCs/>
        </w:rPr>
        <w:t>Kanamori</w:t>
      </w:r>
      <w:proofErr w:type="spellEnd"/>
      <w:r w:rsidRPr="006574D3">
        <w:rPr>
          <w:bCs/>
        </w:rPr>
        <w:t xml:space="preserve">, </w:t>
      </w:r>
      <w:proofErr w:type="spellStart"/>
      <w:r w:rsidRPr="006574D3">
        <w:rPr>
          <w:bCs/>
        </w:rPr>
        <w:t>Stewart</w:t>
      </w:r>
      <w:proofErr w:type="spellEnd"/>
      <w:r w:rsidRPr="006574D3">
        <w:rPr>
          <w:bCs/>
        </w:rPr>
        <w:t>, 1978</w:t>
      </w:r>
      <w:r w:rsidRPr="006574D3">
        <w:t xml:space="preserve">] представляют собой «прочные, напряженные» пятна, окруженные областями, где напряжение частично сбрасывается в </w:t>
      </w:r>
      <w:proofErr w:type="spellStart"/>
      <w:r w:rsidRPr="006574D3">
        <w:t>межсейсмический</w:t>
      </w:r>
      <w:proofErr w:type="spellEnd"/>
      <w:r w:rsidRPr="006574D3">
        <w:t xml:space="preserve"> период </w:t>
      </w:r>
      <w:proofErr w:type="spellStart"/>
      <w:r w:rsidRPr="006574D3">
        <w:t>форшоками</w:t>
      </w:r>
      <w:proofErr w:type="spellEnd"/>
      <w:r w:rsidRPr="006574D3">
        <w:t xml:space="preserve"> и событиями медленного скольжения. В окрестности этих пятен величина </w:t>
      </w:r>
      <w:proofErr w:type="spellStart"/>
      <w:r w:rsidRPr="006574D3">
        <w:t>косейсмического</w:t>
      </w:r>
      <w:proofErr w:type="spellEnd"/>
      <w:r w:rsidRPr="006574D3">
        <w:t xml:space="preserve"> смещения максимальна, а коэффициент сейсмической эффективности близок к единице</w:t>
      </w:r>
    </w:p>
    <w:p w:rsidR="00167D6D" w:rsidRPr="006574D3" w:rsidRDefault="00167D6D" w:rsidP="00167D6D">
      <w:pPr>
        <w:ind w:right="1075"/>
        <w:jc w:val="right"/>
      </w:pPr>
      <w:r w:rsidRPr="006574D3">
        <w:rPr>
          <w:position w:val="-32"/>
        </w:rPr>
        <w:object w:dxaOrig="1280" w:dyaOrig="740">
          <v:shape id="_x0000_i1028" type="#_x0000_t75" style="width:63.75pt;height:36.75pt" o:ole="">
            <v:imagedata r:id="rId10" o:title=""/>
          </v:shape>
          <o:OLEObject Type="Embed" ProgID="Equation.3" ShapeID="_x0000_i1028" DrawAspect="Content" ObjectID="_1615025274" r:id="rId11"/>
        </w:object>
      </w:r>
      <w:r w:rsidRPr="006574D3">
        <w:t xml:space="preserve">.                                                         </w:t>
      </w:r>
      <w:r>
        <w:t xml:space="preserve"> </w:t>
      </w:r>
      <w:r w:rsidRPr="006574D3">
        <w:t xml:space="preserve"> (1)</w:t>
      </w:r>
    </w:p>
    <w:p w:rsidR="00167D6D" w:rsidRDefault="00167D6D" w:rsidP="00167D6D">
      <w:pPr>
        <w:ind w:firstLine="0"/>
        <w:jc w:val="both"/>
      </w:pPr>
      <w:r w:rsidRPr="006574D3">
        <w:t xml:space="preserve">В выражении (1) </w:t>
      </w:r>
      <w:r w:rsidRPr="006574D3">
        <w:rPr>
          <w:position w:val="-30"/>
        </w:rPr>
        <w:object w:dxaOrig="1680" w:dyaOrig="700">
          <v:shape id="_x0000_i1029" type="#_x0000_t75" style="width:84pt;height:35.25pt" o:ole="">
            <v:imagedata r:id="rId12" o:title=""/>
          </v:shape>
          <o:OLEObject Type="Embed" ProgID="Equation.3" ShapeID="_x0000_i1029" DrawAspect="Content" ObjectID="_1615025275" r:id="rId13"/>
        </w:object>
      </w:r>
      <w:r w:rsidRPr="006574D3">
        <w:t xml:space="preserve">, </w:t>
      </w:r>
      <w:r w:rsidRPr="006574D3">
        <w:rPr>
          <w:position w:val="-12"/>
        </w:rPr>
        <w:object w:dxaOrig="360" w:dyaOrig="360">
          <v:shape id="_x0000_i1030" type="#_x0000_t75" style="width:18pt;height:18pt" o:ole="">
            <v:imagedata r:id="rId14" o:title=""/>
          </v:shape>
          <o:OLEObject Type="Embed" ProgID="Equation.3" ShapeID="_x0000_i1030" DrawAspect="Content" ObjectID="_1615025276" r:id="rId15"/>
        </w:object>
      </w:r>
      <w:r>
        <w:t>–</w:t>
      </w:r>
      <w:r w:rsidRPr="006574D3">
        <w:t xml:space="preserve"> сейсмический момент, </w:t>
      </w:r>
      <w:r w:rsidRPr="006574D3">
        <w:rPr>
          <w:i/>
        </w:rPr>
        <w:t>G</w:t>
      </w:r>
      <w:r w:rsidRPr="006574D3">
        <w:t xml:space="preserve"> – модуль сдвига, </w:t>
      </w:r>
      <w:r w:rsidRPr="006574D3">
        <w:rPr>
          <w:i/>
        </w:rPr>
        <w:t>u</w:t>
      </w:r>
      <w:r w:rsidRPr="006574D3">
        <w:t xml:space="preserve"> – вектор </w:t>
      </w:r>
      <w:proofErr w:type="spellStart"/>
      <w:r w:rsidRPr="006574D3">
        <w:t>косейсмического</w:t>
      </w:r>
      <w:proofErr w:type="spellEnd"/>
      <w:r w:rsidRPr="006574D3">
        <w:t xml:space="preserve"> смещения, </w:t>
      </w:r>
      <w:r w:rsidRPr="006574D3">
        <w:rPr>
          <w:i/>
          <w:lang w:val="en-US"/>
        </w:rPr>
        <w:t>S</w:t>
      </w:r>
      <w:r w:rsidRPr="006574D3">
        <w:rPr>
          <w:i/>
          <w:vertAlign w:val="subscript"/>
          <w:lang w:val="en-US"/>
        </w:rPr>
        <w:t>f</w:t>
      </w:r>
      <w:r w:rsidRPr="006574D3">
        <w:t xml:space="preserve"> </w:t>
      </w:r>
      <w:r>
        <w:t>–</w:t>
      </w:r>
      <w:r w:rsidRPr="006574D3">
        <w:t xml:space="preserve"> площадь разрыва, </w:t>
      </w:r>
      <w:proofErr w:type="spellStart"/>
      <w:r w:rsidRPr="006574D3">
        <w:rPr>
          <w:i/>
          <w:lang w:val="en-US"/>
        </w:rPr>
        <w:t>v</w:t>
      </w:r>
      <w:r w:rsidRPr="006574D3">
        <w:rPr>
          <w:i/>
          <w:vertAlign w:val="subscript"/>
          <w:lang w:val="en-US"/>
        </w:rPr>
        <w:t>p</w:t>
      </w:r>
      <w:proofErr w:type="spellEnd"/>
      <w:r w:rsidRPr="006574D3">
        <w:t xml:space="preserve"> – скорость смещения плиты под действием тектонических </w:t>
      </w:r>
      <w:proofErr w:type="gramStart"/>
      <w:r w:rsidRPr="006574D3">
        <w:t>сил</w:t>
      </w:r>
      <w:r w:rsidR="002D597E">
        <w:t>….</w:t>
      </w:r>
      <w:proofErr w:type="gramEnd"/>
      <w:r w:rsidR="002D597E">
        <w:t>.</w:t>
      </w:r>
    </w:p>
    <w:p w:rsidR="002D597E" w:rsidRDefault="002D597E" w:rsidP="00167D6D">
      <w:pPr>
        <w:ind w:firstLine="0"/>
        <w:jc w:val="both"/>
      </w:pPr>
    </w:p>
    <w:p w:rsidR="002D597E" w:rsidRPr="006574D3" w:rsidRDefault="002D597E" w:rsidP="002D597E">
      <w:pPr>
        <w:jc w:val="center"/>
        <w:rPr>
          <w:rFonts w:cs="AdvTT73b978ed.I"/>
          <w:b/>
        </w:rPr>
      </w:pPr>
      <w:r w:rsidRPr="006574D3">
        <w:rPr>
          <w:rFonts w:cs="AdvTT73b978ed.I"/>
          <w:b/>
        </w:rPr>
        <w:t>Постановка расчетов и полученные результаты</w:t>
      </w:r>
    </w:p>
    <w:p w:rsidR="002D597E" w:rsidRPr="006574D3" w:rsidRDefault="002D597E" w:rsidP="002D597E">
      <w:pPr>
        <w:jc w:val="both"/>
      </w:pPr>
      <w:r w:rsidRPr="006574D3">
        <w:t xml:space="preserve">Осуществлялось численное моделирование процесса сдвигового деформирования шероховатых контактов скальных поверхностей. Для проведения численных расчетов использовался двумерный программный комплекс [Архипов и др., 2003], разработанный на основе </w:t>
      </w:r>
      <w:proofErr w:type="spellStart"/>
      <w:r w:rsidRPr="006574D3">
        <w:t>лагранжева</w:t>
      </w:r>
      <w:proofErr w:type="spellEnd"/>
      <w:r w:rsidRPr="006574D3">
        <w:t xml:space="preserve"> численного метода «Тензор». Расчеты выполнены в плоской постановке</w:t>
      </w:r>
      <w:r>
        <w:t xml:space="preserve"> (рис. 2, а–с) ….</w:t>
      </w:r>
    </w:p>
    <w:p w:rsidR="002D597E" w:rsidRPr="006574D3" w:rsidRDefault="002D597E" w:rsidP="00167D6D">
      <w:pPr>
        <w:ind w:firstLine="0"/>
        <w:jc w:val="both"/>
      </w:pPr>
    </w:p>
    <w:p w:rsidR="002D597E" w:rsidRPr="006574D3" w:rsidRDefault="002D597E" w:rsidP="002D597E">
      <w:pPr>
        <w:jc w:val="center"/>
        <w:rPr>
          <w:b/>
        </w:rPr>
      </w:pPr>
      <w:r w:rsidRPr="006574D3">
        <w:rPr>
          <w:b/>
        </w:rPr>
        <w:t>Выводы</w:t>
      </w:r>
    </w:p>
    <w:p w:rsidR="002D597E" w:rsidRPr="006574D3" w:rsidRDefault="002D597E" w:rsidP="002D597E">
      <w:pPr>
        <w:jc w:val="both"/>
      </w:pPr>
      <w:r w:rsidRPr="006574D3">
        <w:t>1. Стартуя на участке скоростного разупрочнения («</w:t>
      </w:r>
      <w:r w:rsidRPr="006574D3">
        <w:rPr>
          <w:lang w:val="en-US"/>
        </w:rPr>
        <w:t>asperity</w:t>
      </w:r>
      <w:r w:rsidRPr="006574D3">
        <w:t xml:space="preserve">»), разрыв распространяется по напряженному тектоническому разлому до участка, обладающего свойствами скоростного упрочнения. Это может быть область либо с пониженными значениями эффективных напряжений нормальных к плоскости разлома, либо выполненная иным </w:t>
      </w:r>
      <w:proofErr w:type="spellStart"/>
      <w:r w:rsidRPr="006574D3">
        <w:t>геоматериалом</w:t>
      </w:r>
      <w:proofErr w:type="spellEnd"/>
      <w:r w:rsidRPr="006574D3">
        <w:t>.</w:t>
      </w:r>
    </w:p>
    <w:p w:rsidR="002D597E" w:rsidRPr="006574D3" w:rsidRDefault="002D597E" w:rsidP="002D597E">
      <w:pPr>
        <w:jc w:val="both"/>
      </w:pPr>
      <w:r w:rsidRPr="006574D3">
        <w:t xml:space="preserve">2. Величина реализованного в ходе динамической подвижки сейсмического момента </w:t>
      </w:r>
      <w:r w:rsidRPr="006574D3">
        <w:rPr>
          <w:i/>
        </w:rPr>
        <w:t>M</w:t>
      </w:r>
      <w:r w:rsidRPr="006574D3">
        <w:rPr>
          <w:i/>
          <w:vertAlign w:val="subscript"/>
        </w:rPr>
        <w:t>0</w:t>
      </w:r>
      <w:r w:rsidRPr="006574D3">
        <w:t xml:space="preserve"> определяется характерным размером области раз</w:t>
      </w:r>
      <w:r>
        <w:t>лома, вовлеченной в движение, то есть</w:t>
      </w:r>
      <w:r w:rsidRPr="006574D3">
        <w:t xml:space="preserve"> расположением относительно точки старта разрыва участков скоростного упрочнения – барьеров, в то время как измене</w:t>
      </w:r>
      <w:r>
        <w:t>ние скорости реализации момента</w:t>
      </w:r>
      <w:r w:rsidRPr="006574D3">
        <w:t xml:space="preserve"> во времени </w:t>
      </w:r>
      <w:r w:rsidRPr="006574D3">
        <w:rPr>
          <w:position w:val="-12"/>
        </w:rPr>
        <w:object w:dxaOrig="639" w:dyaOrig="380">
          <v:shape id="_x0000_i1031" type="#_x0000_t75" style="width:31.5pt;height:18.75pt" o:ole="">
            <v:imagedata r:id="rId16" o:title=""/>
          </v:shape>
          <o:OLEObject Type="Embed" ProgID="Equation.3" ShapeID="_x0000_i1031" DrawAspect="Content" ObjectID="_1615025277" r:id="rId17"/>
        </w:object>
      </w:r>
      <w:r w:rsidRPr="006574D3">
        <w:t xml:space="preserve"> зависит от количества и взаимного расположения участков скоростного разупрочнения (</w:t>
      </w:r>
      <w:r>
        <w:t>«</w:t>
      </w:r>
      <w:r w:rsidRPr="006574D3">
        <w:rPr>
          <w:lang w:val="en-US"/>
        </w:rPr>
        <w:t>asperities</w:t>
      </w:r>
      <w:r>
        <w:t>»</w:t>
      </w:r>
      <w:r w:rsidRPr="006574D3">
        <w:t>).</w:t>
      </w:r>
    </w:p>
    <w:p w:rsidR="002D597E" w:rsidRPr="00C26EBA" w:rsidRDefault="002D597E" w:rsidP="002D597E">
      <w:pPr>
        <w:pStyle w:val="Default"/>
        <w:rPr>
          <w:i/>
        </w:rPr>
      </w:pPr>
      <w:r w:rsidRPr="00C26EBA">
        <w:rPr>
          <w:i/>
          <w:lang w:eastAsia="ru-RU"/>
        </w:rPr>
        <w:t>Работы проводились</w:t>
      </w:r>
      <w:r>
        <w:rPr>
          <w:i/>
          <w:lang w:eastAsia="ru-RU"/>
        </w:rPr>
        <w:t xml:space="preserve"> при финансовой поддержке РФФИ (</w:t>
      </w:r>
      <w:r w:rsidRPr="00C26EBA">
        <w:rPr>
          <w:i/>
          <w:lang w:eastAsia="ru-RU"/>
        </w:rPr>
        <w:t>проект № 16-05-00869</w:t>
      </w:r>
      <w:r>
        <w:rPr>
          <w:i/>
          <w:lang w:eastAsia="ru-RU"/>
        </w:rPr>
        <w:t>)</w:t>
      </w:r>
      <w:r w:rsidRPr="00C26EBA">
        <w:rPr>
          <w:i/>
          <w:lang w:eastAsia="ru-RU"/>
        </w:rPr>
        <w:t xml:space="preserve"> и в рамках государственного задания ИДГ РАН (проект № </w:t>
      </w:r>
      <w:r w:rsidRPr="00C26EBA">
        <w:rPr>
          <w:i/>
        </w:rPr>
        <w:t>0146-2014-0008</w:t>
      </w:r>
      <w:r w:rsidRPr="00C26EBA">
        <w:rPr>
          <w:i/>
          <w:lang w:eastAsia="ru-RU"/>
        </w:rPr>
        <w:t>).</w:t>
      </w:r>
    </w:p>
    <w:p w:rsidR="002D597E" w:rsidRPr="006574D3" w:rsidRDefault="002D597E" w:rsidP="002D597E">
      <w:pPr>
        <w:jc w:val="both"/>
        <w:rPr>
          <w:szCs w:val="20"/>
        </w:rPr>
      </w:pPr>
    </w:p>
    <w:p w:rsidR="002D597E" w:rsidRPr="00C26EBA" w:rsidRDefault="002D597E" w:rsidP="002D597E">
      <w:pPr>
        <w:jc w:val="center"/>
        <w:rPr>
          <w:b/>
          <w:szCs w:val="20"/>
        </w:rPr>
      </w:pPr>
      <w:r w:rsidRPr="00C26EBA">
        <w:rPr>
          <w:b/>
          <w:szCs w:val="20"/>
        </w:rPr>
        <w:t>Литература</w:t>
      </w:r>
    </w:p>
    <w:p w:rsidR="00064D82" w:rsidRDefault="002D597E" w:rsidP="00064D82">
      <w:pPr>
        <w:spacing w:line="240" w:lineRule="auto"/>
        <w:ind w:firstLine="284"/>
      </w:pPr>
      <w:r w:rsidRPr="008A5F03">
        <w:rPr>
          <w:bCs/>
          <w:i/>
        </w:rPr>
        <w:t xml:space="preserve">Архипов В.Н., Борисов В.А., </w:t>
      </w:r>
      <w:proofErr w:type="spellStart"/>
      <w:r w:rsidRPr="008A5F03">
        <w:rPr>
          <w:bCs/>
          <w:i/>
        </w:rPr>
        <w:t>Будков</w:t>
      </w:r>
      <w:proofErr w:type="spellEnd"/>
      <w:r w:rsidRPr="008A5F03">
        <w:rPr>
          <w:bCs/>
          <w:i/>
        </w:rPr>
        <w:t xml:space="preserve"> А.М. и др</w:t>
      </w:r>
      <w:r w:rsidRPr="008A5F03">
        <w:rPr>
          <w:bCs/>
        </w:rPr>
        <w:t>.</w:t>
      </w:r>
      <w:r w:rsidRPr="008A5F03">
        <w:t xml:space="preserve"> </w:t>
      </w:r>
      <w:r w:rsidR="00064D82" w:rsidRPr="00064D82">
        <w:rPr>
          <w:color w:val="FF0000"/>
        </w:rPr>
        <w:t>(инициалы после фамилии, курсив)</w:t>
      </w:r>
      <w:r w:rsidR="00064D82" w:rsidRPr="00F4301E">
        <w:t xml:space="preserve"> </w:t>
      </w:r>
      <w:r w:rsidRPr="008A5F03">
        <w:t xml:space="preserve">Механическое действие ядерного взрыва. </w:t>
      </w:r>
      <w:proofErr w:type="gramStart"/>
      <w:r w:rsidRPr="008A5F03">
        <w:t>М.</w:t>
      </w:r>
      <w:r>
        <w:t xml:space="preserve"> </w:t>
      </w:r>
      <w:r w:rsidRPr="008A5F03">
        <w:t>:</w:t>
      </w:r>
      <w:proofErr w:type="gramEnd"/>
      <w:r w:rsidRPr="008A5F03">
        <w:t xml:space="preserve"> </w:t>
      </w:r>
      <w:proofErr w:type="spellStart"/>
      <w:r w:rsidRPr="008A5F03">
        <w:t>Физматлит</w:t>
      </w:r>
      <w:proofErr w:type="spellEnd"/>
      <w:r w:rsidRPr="008A5F03">
        <w:t xml:space="preserve">, 2003. </w:t>
      </w:r>
      <w:r>
        <w:t xml:space="preserve">– </w:t>
      </w:r>
      <w:r w:rsidRPr="008A5F03">
        <w:t xml:space="preserve">550 с. </w:t>
      </w:r>
    </w:p>
    <w:p w:rsidR="00E05866" w:rsidRPr="00E05866" w:rsidRDefault="00064D82" w:rsidP="00E05866">
      <w:pPr>
        <w:spacing w:line="240" w:lineRule="auto"/>
        <w:ind w:firstLine="284"/>
        <w:rPr>
          <w:color w:val="FF0000"/>
        </w:rPr>
      </w:pPr>
      <w:r w:rsidRPr="008D5FC6">
        <w:rPr>
          <w:i/>
        </w:rPr>
        <w:t xml:space="preserve">Анисимов С.В., Мареев Е.А. </w:t>
      </w:r>
      <w:proofErr w:type="spellStart"/>
      <w:r w:rsidRPr="008D5FC6">
        <w:t>Аэроэлектрические</w:t>
      </w:r>
      <w:proofErr w:type="spellEnd"/>
      <w:r w:rsidRPr="008D5FC6">
        <w:t xml:space="preserve"> структуры в атмосфере</w:t>
      </w:r>
      <w:r>
        <w:t xml:space="preserve"> </w:t>
      </w:r>
      <w:r w:rsidRPr="008D5FC6">
        <w:t xml:space="preserve">// Доклады академии </w:t>
      </w:r>
      <w:r>
        <w:t>наук. 2000. Т. 371. № 1. С. 101–</w:t>
      </w:r>
      <w:r w:rsidRPr="008D5FC6">
        <w:t>104.</w:t>
      </w:r>
      <w:r w:rsidR="00E05866">
        <w:t xml:space="preserve"> </w:t>
      </w:r>
      <w:r w:rsidR="00E05866" w:rsidRPr="00E05866">
        <w:rPr>
          <w:color w:val="FF0000"/>
        </w:rPr>
        <w:t>(интервал между страницами – короткое тире, без пробелов)</w:t>
      </w:r>
    </w:p>
    <w:p w:rsidR="00064D82" w:rsidRPr="00E05866" w:rsidRDefault="00064D82" w:rsidP="00064D82">
      <w:pPr>
        <w:spacing w:line="240" w:lineRule="auto"/>
        <w:ind w:firstLine="284"/>
        <w:rPr>
          <w:color w:val="FF0000"/>
        </w:rPr>
      </w:pPr>
    </w:p>
    <w:p w:rsidR="00F4301E" w:rsidRDefault="00F4301E" w:rsidP="00F4301E">
      <w:pPr>
        <w:spacing w:line="240" w:lineRule="auto"/>
        <w:ind w:firstLine="284"/>
      </w:pPr>
      <w:r w:rsidRPr="00F4301E">
        <w:rPr>
          <w:i/>
        </w:rPr>
        <w:lastRenderedPageBreak/>
        <w:t xml:space="preserve">Горбунова Э.М. и </w:t>
      </w:r>
      <w:proofErr w:type="spellStart"/>
      <w:r w:rsidRPr="00F4301E">
        <w:rPr>
          <w:i/>
        </w:rPr>
        <w:t>др</w:t>
      </w:r>
      <w:r w:rsidRPr="00F4301E">
        <w:t>Реакция</w:t>
      </w:r>
      <w:proofErr w:type="spellEnd"/>
      <w:r w:rsidRPr="00F4301E">
        <w:t xml:space="preserve"> подземных вод на прохождение сейсмических волн от землетрясений на примере ГФО «Михнево» // Динамические процессы в геосферах. </w:t>
      </w:r>
      <w:proofErr w:type="spellStart"/>
      <w:r w:rsidRPr="00F4301E">
        <w:t>Вып</w:t>
      </w:r>
      <w:proofErr w:type="spellEnd"/>
      <w:r w:rsidRPr="00F4301E">
        <w:t>.</w:t>
      </w:r>
      <w:r>
        <w:t xml:space="preserve"> </w:t>
      </w:r>
      <w:r w:rsidRPr="00F4301E">
        <w:t xml:space="preserve">7. </w:t>
      </w:r>
      <w:r>
        <w:t xml:space="preserve">ИДГ РАН. </w:t>
      </w:r>
      <w:proofErr w:type="gramStart"/>
      <w:r w:rsidRPr="00F4301E">
        <w:t>М. :</w:t>
      </w:r>
      <w:proofErr w:type="gramEnd"/>
      <w:r w:rsidRPr="00F4301E">
        <w:t xml:space="preserve"> ГЕОС. 2015. С. 60–67</w:t>
      </w:r>
    </w:p>
    <w:p w:rsidR="00E05866" w:rsidRPr="00E05866" w:rsidRDefault="00064D82" w:rsidP="00E05866">
      <w:pPr>
        <w:pStyle w:val="1"/>
        <w:numPr>
          <w:ilvl w:val="0"/>
          <w:numId w:val="0"/>
        </w:num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lang w:val="ru-RU"/>
        </w:rPr>
        <w:t>Иванов А.А</w:t>
      </w:r>
      <w:r w:rsidRPr="00064D82">
        <w:rPr>
          <w:rFonts w:ascii="Times New Roman" w:hAnsi="Times New Roman"/>
          <w:i/>
          <w:lang w:val="ru-RU"/>
        </w:rPr>
        <w:t>.</w:t>
      </w:r>
      <w:r>
        <w:rPr>
          <w:rFonts w:ascii="Times New Roman" w:hAnsi="Times New Roman"/>
          <w:i/>
          <w:lang w:val="ru-RU"/>
        </w:rPr>
        <w:t xml:space="preserve">, Сидоров В.В., Козлов Б.Б. </w:t>
      </w:r>
      <w:r w:rsidRPr="00064D82">
        <w:rPr>
          <w:rFonts w:ascii="Times New Roman" w:hAnsi="Times New Roman"/>
          <w:lang w:val="ru-RU"/>
        </w:rPr>
        <w:t>Реакция подземных вод на прохождение сейсмических волн от землетрясений на примере ГФО «Михнево»</w:t>
      </w:r>
      <w:r>
        <w:rPr>
          <w:rFonts w:ascii="Times New Roman" w:hAnsi="Times New Roman"/>
          <w:lang w:val="ru-RU"/>
        </w:rPr>
        <w:t xml:space="preserve">. В сб. тр. «Триггерные эффекты в геосистемах»: материалы IV международной конференции «Триггерные эффекты в геосистемах», 1-4 июня 2017 г., Москва. </w:t>
      </w:r>
      <w:proofErr w:type="gramStart"/>
      <w:r>
        <w:rPr>
          <w:rFonts w:ascii="Times New Roman" w:hAnsi="Times New Roman"/>
          <w:lang w:val="ru-RU"/>
        </w:rPr>
        <w:t>М</w:t>
      </w:r>
      <w:r w:rsidRPr="00E05866">
        <w:rPr>
          <w:rFonts w:ascii="Times New Roman" w:hAnsi="Times New Roman"/>
        </w:rPr>
        <w:t>. :</w:t>
      </w:r>
      <w:proofErr w:type="gramEnd"/>
      <w:r w:rsidRPr="00E0586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ГЕОС</w:t>
      </w:r>
      <w:r w:rsidRPr="00E05866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С</w:t>
      </w:r>
      <w:r w:rsidRPr="00E05866">
        <w:rPr>
          <w:rFonts w:ascii="Times New Roman" w:hAnsi="Times New Roman"/>
        </w:rPr>
        <w:t>. 10–20.</w:t>
      </w:r>
      <w:bookmarkStart w:id="1" w:name="OLE_LINK13"/>
      <w:bookmarkStart w:id="2" w:name="OLE_LINK14"/>
    </w:p>
    <w:p w:rsidR="00F4301E" w:rsidRPr="00E05866" w:rsidRDefault="00F4301E" w:rsidP="00E05866">
      <w:pPr>
        <w:pStyle w:val="1"/>
        <w:numPr>
          <w:ilvl w:val="0"/>
          <w:numId w:val="0"/>
        </w:numPr>
        <w:ind w:firstLine="284"/>
        <w:jc w:val="both"/>
        <w:rPr>
          <w:rFonts w:ascii="Times New Roman" w:hAnsi="Times New Roman"/>
          <w:color w:val="FF0000"/>
          <w:lang w:val="ru-RU"/>
        </w:rPr>
      </w:pPr>
      <w:r w:rsidRPr="00E05866">
        <w:rPr>
          <w:rFonts w:ascii="Times New Roman" w:hAnsi="Times New Roman"/>
          <w:i/>
        </w:rPr>
        <w:t>Dieterich</w:t>
      </w:r>
      <w:bookmarkEnd w:id="1"/>
      <w:bookmarkEnd w:id="2"/>
      <w:r w:rsidRPr="00E05866">
        <w:rPr>
          <w:rFonts w:ascii="Times New Roman" w:hAnsi="Times New Roman"/>
          <w:i/>
        </w:rPr>
        <w:t>, J.H.</w:t>
      </w:r>
      <w:r w:rsidRPr="00E05866">
        <w:rPr>
          <w:rFonts w:ascii="Times New Roman" w:hAnsi="Times New Roman"/>
        </w:rPr>
        <w:t xml:space="preserve"> Modeling of Rock Friction: 1. </w:t>
      </w:r>
      <w:r w:rsidR="00064D82" w:rsidRPr="00C1501B">
        <w:rPr>
          <w:rFonts w:ascii="Times New Roman" w:hAnsi="Times New Roman"/>
        </w:rPr>
        <w:t>(1979)</w:t>
      </w:r>
      <w:r w:rsidRPr="00C1501B">
        <w:rPr>
          <w:rFonts w:ascii="Times New Roman" w:hAnsi="Times New Roman"/>
        </w:rPr>
        <w:t xml:space="preserve"> </w:t>
      </w:r>
      <w:r w:rsidRPr="00E05866">
        <w:rPr>
          <w:rFonts w:ascii="Times New Roman" w:hAnsi="Times New Roman"/>
        </w:rPr>
        <w:t xml:space="preserve">Experimental results and constitutive equations // J. </w:t>
      </w:r>
      <w:proofErr w:type="spellStart"/>
      <w:r w:rsidRPr="00E05866">
        <w:rPr>
          <w:rFonts w:ascii="Times New Roman" w:hAnsi="Times New Roman"/>
        </w:rPr>
        <w:t>Geophys</w:t>
      </w:r>
      <w:proofErr w:type="spellEnd"/>
      <w:r w:rsidRPr="00E05866">
        <w:rPr>
          <w:rFonts w:ascii="Times New Roman" w:hAnsi="Times New Roman"/>
        </w:rPr>
        <w:t>. Res. V. 84. P</w:t>
      </w:r>
      <w:r w:rsidRPr="00C1501B">
        <w:rPr>
          <w:rFonts w:ascii="Times New Roman" w:hAnsi="Times New Roman"/>
          <w:lang w:val="ru-RU"/>
        </w:rPr>
        <w:t xml:space="preserve">. 2161–2168. </w:t>
      </w:r>
      <w:r w:rsidR="00E05866" w:rsidRPr="00E05866">
        <w:rPr>
          <w:rFonts w:ascii="Times New Roman" w:hAnsi="Times New Roman"/>
          <w:color w:val="FF0000"/>
          <w:lang w:val="ru-RU"/>
        </w:rPr>
        <w:t>(публикации в зарубежных изданиях размещаются после отечественных и также в алфавитном порядке)</w:t>
      </w:r>
    </w:p>
    <w:p w:rsidR="00F4301E" w:rsidRPr="00E05866" w:rsidRDefault="00F4301E" w:rsidP="00F4301E">
      <w:pPr>
        <w:spacing w:line="240" w:lineRule="auto"/>
        <w:ind w:firstLine="284"/>
        <w:rPr>
          <w:color w:val="FF0000"/>
        </w:rPr>
      </w:pPr>
    </w:p>
    <w:p w:rsidR="00F4301E" w:rsidRPr="00E05866" w:rsidRDefault="00F4301E" w:rsidP="00F4301E">
      <w:pPr>
        <w:spacing w:line="240" w:lineRule="auto"/>
        <w:ind w:firstLine="284"/>
        <w:jc w:val="both"/>
      </w:pPr>
    </w:p>
    <w:p w:rsidR="00167D6D" w:rsidRPr="00E05866" w:rsidRDefault="00167D6D" w:rsidP="00167D6D">
      <w:pPr>
        <w:jc w:val="both"/>
      </w:pPr>
    </w:p>
    <w:sectPr w:rsidR="00167D6D" w:rsidRPr="00E05866" w:rsidSect="00FA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TT182ff89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73b978ed.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D6D"/>
    <w:rsid w:val="00064D82"/>
    <w:rsid w:val="00167D6D"/>
    <w:rsid w:val="00241FFA"/>
    <w:rsid w:val="002D597E"/>
    <w:rsid w:val="003F7721"/>
    <w:rsid w:val="00426A7D"/>
    <w:rsid w:val="007065A1"/>
    <w:rsid w:val="00C1501B"/>
    <w:rsid w:val="00CE695F"/>
    <w:rsid w:val="00DE4972"/>
    <w:rsid w:val="00E05866"/>
    <w:rsid w:val="00E13B0A"/>
    <w:rsid w:val="00F4301E"/>
    <w:rsid w:val="00F7574B"/>
    <w:rsid w:val="00FA293A"/>
    <w:rsid w:val="00F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66DB77"/>
  <w15:docId w15:val="{132389B5-CDBD-4774-BCD9-291B0172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D6D"/>
    <w:pPr>
      <w:spacing w:after="0" w:line="360" w:lineRule="auto"/>
      <w:ind w:firstLine="539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7D6D"/>
  </w:style>
  <w:style w:type="paragraph" w:customStyle="1" w:styleId="Default">
    <w:name w:val="Default"/>
    <w:rsid w:val="002D597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1">
    <w:name w:val="Абзац списка1"/>
    <w:basedOn w:val="a"/>
    <w:rsid w:val="00F4301E"/>
    <w:pPr>
      <w:numPr>
        <w:ilvl w:val="8"/>
      </w:numPr>
      <w:tabs>
        <w:tab w:val="num" w:pos="180"/>
      </w:tabs>
      <w:spacing w:line="240" w:lineRule="auto"/>
      <w:ind w:left="720" w:hanging="180"/>
      <w:contextualSpacing/>
    </w:pPr>
    <w:rPr>
      <w:rFonts w:ascii="Arial" w:eastAsia="Times New Roman" w:hAnsi="Arial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Сусанна Беккер</cp:lastModifiedBy>
  <cp:revision>4</cp:revision>
  <dcterms:created xsi:type="dcterms:W3CDTF">2019-03-20T10:12:00Z</dcterms:created>
  <dcterms:modified xsi:type="dcterms:W3CDTF">2019-03-25T10:21:00Z</dcterms:modified>
</cp:coreProperties>
</file>